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456F1B" w:rsidRDefault="006450C6" w:rsidP="00645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</w:t>
      </w:r>
      <w:r w:rsidR="00863A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76B5A" w:rsidRDefault="00676B5A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0C6" w:rsidRDefault="006450C6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450C6" w:rsidRDefault="006450C6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63A22" w:rsidRDefault="006450C6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76B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863A2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863A2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676B5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6450C6" w:rsidRDefault="006450C6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6450C6">
        <w:rPr>
          <w:rFonts w:ascii="Times New Roman" w:hAnsi="Times New Roman"/>
          <w:b/>
          <w:sz w:val="28"/>
          <w:szCs w:val="28"/>
        </w:rPr>
        <w:t xml:space="preserve"> участников дорожного </w:t>
      </w:r>
      <w:r w:rsidR="004475BE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50C6">
        <w:rPr>
          <w:rFonts w:ascii="Times New Roman" w:hAnsi="Times New Roman"/>
          <w:b/>
          <w:sz w:val="28"/>
          <w:szCs w:val="28"/>
        </w:rPr>
        <w:t>Старокарачинского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b/>
          <w:sz w:val="28"/>
          <w:szCs w:val="28"/>
        </w:rPr>
        <w:t>Чановского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 w:rsidR="00A56A8E">
        <w:rPr>
          <w:rFonts w:ascii="Times New Roman" w:hAnsi="Times New Roman"/>
          <w:b/>
          <w:sz w:val="28"/>
          <w:szCs w:val="28"/>
        </w:rPr>
        <w:t>8</w:t>
      </w:r>
      <w:r w:rsidR="006450C6">
        <w:rPr>
          <w:rFonts w:ascii="Times New Roman" w:hAnsi="Times New Roman"/>
          <w:b/>
          <w:sz w:val="28"/>
          <w:szCs w:val="28"/>
        </w:rPr>
        <w:t>-202</w:t>
      </w:r>
      <w:r w:rsidR="00A56A8E">
        <w:rPr>
          <w:rFonts w:ascii="Times New Roman" w:hAnsi="Times New Roman"/>
          <w:b/>
          <w:sz w:val="28"/>
          <w:szCs w:val="28"/>
        </w:rPr>
        <w:t>1</w:t>
      </w:r>
      <w:r w:rsidR="006450C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450C6" w:rsidRDefault="006450C6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0C6" w:rsidRPr="00863A22" w:rsidRDefault="006450C6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6450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6450C6">
        <w:rPr>
          <w:rFonts w:ascii="Times New Roman" w:hAnsi="Times New Roman"/>
          <w:sz w:val="28"/>
          <w:szCs w:val="28"/>
          <w:shd w:val="clear" w:color="auto" w:fill="FFFFFF"/>
        </w:rPr>
        <w:t>Старокарачинского</w:t>
      </w:r>
      <w:proofErr w:type="gram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  <w:shd w:val="clear" w:color="auto" w:fill="FFFFFF"/>
        </w:rPr>
        <w:t>Чановского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="00645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863A22" w:rsidRPr="00863A22" w:rsidRDefault="00863A22" w:rsidP="006450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>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Pr="00863A22">
        <w:rPr>
          <w:rFonts w:ascii="Times New Roman" w:hAnsi="Times New Roman"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 w:rsidRPr="00863A22">
        <w:rPr>
          <w:rFonts w:ascii="Times New Roman" w:hAnsi="Times New Roman"/>
          <w:sz w:val="28"/>
          <w:szCs w:val="28"/>
        </w:rPr>
        <w:t xml:space="preserve"> района Новосибирской области на 2017-2020 годы» (приложение № 1).</w:t>
      </w:r>
    </w:p>
    <w:p w:rsidR="00863A22" w:rsidRPr="00760113" w:rsidRDefault="00863A22" w:rsidP="006450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0113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6450C6">
        <w:rPr>
          <w:rFonts w:ascii="Times New Roman" w:hAnsi="Times New Roman"/>
          <w:sz w:val="28"/>
          <w:szCs w:val="28"/>
        </w:rPr>
        <w:t>информационном</w:t>
      </w:r>
      <w:r w:rsidRPr="00760113">
        <w:rPr>
          <w:rFonts w:ascii="Times New Roman" w:hAnsi="Times New Roman"/>
          <w:sz w:val="28"/>
          <w:szCs w:val="28"/>
        </w:rPr>
        <w:t xml:space="preserve"> издании «</w:t>
      </w:r>
      <w:r w:rsidR="006450C6">
        <w:rPr>
          <w:rFonts w:ascii="Times New Roman" w:hAnsi="Times New Roman"/>
          <w:sz w:val="28"/>
          <w:szCs w:val="28"/>
        </w:rPr>
        <w:t>Старокарачинский вестник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6450C6">
        <w:rPr>
          <w:rFonts w:ascii="Times New Roman" w:hAnsi="Times New Roman"/>
          <w:sz w:val="28"/>
          <w:szCs w:val="28"/>
        </w:rPr>
        <w:t>Старокарачинского сельсовета</w:t>
      </w:r>
      <w:r w:rsidR="00A56A8E">
        <w:rPr>
          <w:rFonts w:ascii="Times New Roman" w:hAnsi="Times New Roman"/>
          <w:sz w:val="28"/>
          <w:szCs w:val="28"/>
        </w:rPr>
        <w:t xml:space="preserve">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 w:rsidRPr="00760113">
        <w:rPr>
          <w:rFonts w:ascii="Times New Roman" w:hAnsi="Times New Roman"/>
          <w:sz w:val="28"/>
          <w:szCs w:val="28"/>
        </w:rPr>
        <w:t xml:space="preserve"> района Новосибирской области в разделе «Поселения». </w:t>
      </w:r>
    </w:p>
    <w:p w:rsidR="00863A22" w:rsidRDefault="006450C6" w:rsidP="006450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3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60113" w:rsidRDefault="00863A22" w:rsidP="006450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777AAB" w:rsidRDefault="006450C6" w:rsidP="006450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</w:t>
      </w:r>
      <w:r w:rsidR="00863A22" w:rsidRPr="00777AAB">
        <w:rPr>
          <w:rFonts w:ascii="Times New Roman" w:hAnsi="Times New Roman"/>
          <w:sz w:val="28"/>
          <w:szCs w:val="28"/>
        </w:rPr>
        <w:t xml:space="preserve"> района Новосибирской области     </w:t>
      </w:r>
      <w:r w:rsidR="00863A2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63A2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В.В. Шлей</w:t>
      </w: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A56A8E" w:rsidRDefault="00A56A8E">
      <w:pPr>
        <w:rPr>
          <w:rFonts w:ascii="Times New Roman" w:hAnsi="Times New Roman"/>
          <w:sz w:val="28"/>
          <w:szCs w:val="28"/>
        </w:rPr>
      </w:pPr>
    </w:p>
    <w:p w:rsidR="00A56A8E" w:rsidRDefault="00A56A8E">
      <w:pPr>
        <w:rPr>
          <w:rFonts w:ascii="Times New Roman" w:hAnsi="Times New Roman"/>
          <w:sz w:val="28"/>
          <w:szCs w:val="28"/>
        </w:rPr>
      </w:pPr>
    </w:p>
    <w:p w:rsidR="00A56A8E" w:rsidRDefault="00C01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Гойденко Д.В. 33-591</w:t>
      </w:r>
    </w:p>
    <w:p w:rsidR="006450C6" w:rsidRDefault="006450C6"/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3A22" w:rsidRPr="00273270" w:rsidRDefault="006450C6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Старокарачинского</w:t>
      </w:r>
      <w:r w:rsidR="00863A22" w:rsidRPr="00273270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273270" w:rsidRDefault="006450C6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</w:t>
      </w:r>
      <w:r w:rsidR="00863A22" w:rsidRPr="00273270">
        <w:rPr>
          <w:rFonts w:ascii="Times New Roman" w:hAnsi="Times New Roman"/>
          <w:sz w:val="28"/>
          <w:szCs w:val="28"/>
        </w:rPr>
        <w:t xml:space="preserve"> района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863A22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450C6">
        <w:rPr>
          <w:rFonts w:ascii="Times New Roman" w:hAnsi="Times New Roman"/>
          <w:sz w:val="28"/>
          <w:szCs w:val="28"/>
        </w:rPr>
        <w:t>26.06</w:t>
      </w:r>
      <w:r w:rsidRPr="00273270">
        <w:rPr>
          <w:rFonts w:ascii="Times New Roman" w:hAnsi="Times New Roman"/>
          <w:sz w:val="28"/>
          <w:szCs w:val="28"/>
        </w:rPr>
        <w:t>.201</w:t>
      </w:r>
      <w:r w:rsidR="006450C6">
        <w:rPr>
          <w:rFonts w:ascii="Times New Roman" w:hAnsi="Times New Roman"/>
          <w:sz w:val="28"/>
          <w:szCs w:val="28"/>
        </w:rPr>
        <w:t>8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 w:rsidR="006450C6">
        <w:rPr>
          <w:rFonts w:ascii="Times New Roman" w:hAnsi="Times New Roman"/>
          <w:sz w:val="28"/>
          <w:szCs w:val="28"/>
        </w:rPr>
        <w:t>31</w:t>
      </w:r>
    </w:p>
    <w:p w:rsidR="00A56A8E" w:rsidRPr="00273270" w:rsidRDefault="00A56A8E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Pr="00E53DBF">
        <w:rPr>
          <w:rFonts w:ascii="Times New Roman" w:hAnsi="Times New Roman"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 w:rsidRPr="00E53DBF">
        <w:rPr>
          <w:rFonts w:ascii="Times New Roman" w:hAnsi="Times New Roman"/>
          <w:sz w:val="28"/>
          <w:szCs w:val="28"/>
        </w:rPr>
        <w:t xml:space="preserve"> района Новосибирской области на 2017-2020 годы</w:t>
      </w:r>
    </w:p>
    <w:p w:rsidR="00A56A8E" w:rsidRPr="00E53DBF" w:rsidRDefault="00A56A8E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B24" w:rsidRPr="00A56A8E" w:rsidRDefault="00CB1B24" w:rsidP="00E53D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10066" w:type="dxa"/>
        <w:tblInd w:w="-318" w:type="dxa"/>
        <w:tblLayout w:type="fixed"/>
        <w:tblLook w:val="0000"/>
      </w:tblPr>
      <w:tblGrid>
        <w:gridCol w:w="1986"/>
        <w:gridCol w:w="8080"/>
      </w:tblGrid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2017-2020 годы» (далее – Программа)</w:t>
            </w: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6450C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="004E1E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632</w:t>
            </w:r>
            <w:r w:rsidR="006450C6">
              <w:rPr>
                <w:rFonts w:ascii="Times New Roman" w:hAnsi="Times New Roman"/>
                <w:sz w:val="28"/>
                <w:szCs w:val="28"/>
              </w:rPr>
              <w:t>221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Чановский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E53D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Старые Карачи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78 в</w:t>
            </w: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A56A8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сельсовета, </w:t>
            </w:r>
            <w:r w:rsidR="00A56A8E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="00A56A8E">
              <w:rPr>
                <w:rFonts w:ascii="Times New Roman" w:hAnsi="Times New Roman"/>
                <w:sz w:val="28"/>
                <w:szCs w:val="28"/>
              </w:rPr>
              <w:t>Старокарачинская</w:t>
            </w:r>
            <w:proofErr w:type="spellEnd"/>
            <w:r w:rsidR="00A56A8E">
              <w:rPr>
                <w:rFonts w:ascii="Times New Roman" w:hAnsi="Times New Roman"/>
                <w:sz w:val="28"/>
                <w:szCs w:val="28"/>
              </w:rPr>
              <w:t xml:space="preserve"> СШ </w:t>
            </w:r>
            <w:r w:rsidR="001A318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B1B24" w:rsidRPr="00E53DBF" w:rsidTr="00A56A8E">
        <w:trPr>
          <w:trHeight w:val="56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A56A8E">
        <w:trPr>
          <w:trHeight w:val="2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и этапы 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A56A8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</w:t>
            </w:r>
            <w:r w:rsidR="00A56A8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A56A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A56A8E">
              <w:rPr>
                <w:rFonts w:ascii="Times New Roman" w:hAnsi="Times New Roman"/>
                <w:sz w:val="28"/>
                <w:szCs w:val="28"/>
              </w:rPr>
              <w:t>1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A56A8E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6450C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="00E53DBF" w:rsidRPr="00E53DBF">
        <w:rPr>
          <w:rFonts w:ascii="Times New Roman" w:hAnsi="Times New Roman"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 w:rsidR="00E53DBF" w:rsidRPr="00E53DB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="00567535">
        <w:rPr>
          <w:rFonts w:ascii="Times New Roman" w:hAnsi="Times New Roman"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 w:rsidR="00567535">
        <w:rPr>
          <w:rFonts w:ascii="Times New Roman" w:hAnsi="Times New Roman"/>
          <w:sz w:val="28"/>
          <w:szCs w:val="28"/>
        </w:rPr>
        <w:t xml:space="preserve"> района</w:t>
      </w:r>
      <w:r w:rsidR="00E53DBF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</w:t>
      </w:r>
      <w:r w:rsidR="00A56A8E">
        <w:rPr>
          <w:rFonts w:ascii="Times New Roman" w:hAnsi="Times New Roman"/>
          <w:sz w:val="28"/>
          <w:szCs w:val="28"/>
        </w:rPr>
        <w:t>на дорожные знаки, столбы, придомовые строения</w:t>
      </w:r>
      <w:r w:rsidRPr="00E53DBF">
        <w:rPr>
          <w:rFonts w:ascii="Times New Roman" w:hAnsi="Times New Roman"/>
          <w:sz w:val="28"/>
          <w:szCs w:val="28"/>
        </w:rPr>
        <w:t xml:space="preserve">. </w:t>
      </w:r>
      <w:r w:rsidRPr="00567535">
        <w:rPr>
          <w:rFonts w:ascii="Times New Roman" w:hAnsi="Times New Roman"/>
          <w:sz w:val="28"/>
          <w:szCs w:val="28"/>
        </w:rPr>
        <w:t>Более 80 %</w:t>
      </w:r>
      <w:r w:rsidRPr="00E53DBF">
        <w:rPr>
          <w:rFonts w:ascii="Times New Roman" w:hAnsi="Times New Roman"/>
          <w:sz w:val="28"/>
          <w:szCs w:val="28"/>
        </w:rPr>
        <w:t xml:space="preserve">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798B"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</w:t>
      </w:r>
      <w:r w:rsidR="00C4798B" w:rsidRPr="00E53DBF">
        <w:rPr>
          <w:rFonts w:ascii="Times New Roman" w:hAnsi="Times New Roman"/>
          <w:sz w:val="28"/>
          <w:szCs w:val="28"/>
        </w:rPr>
        <w:lastRenderedPageBreak/>
        <w:t xml:space="preserve">особой степенью тяжести. Это характерно для ДТП на автомобильных </w:t>
      </w:r>
      <w:proofErr w:type="gramStart"/>
      <w:r w:rsidR="00C4798B"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="00C4798B"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 w:rsidR="00567535"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</w:t>
      </w:r>
      <w:r w:rsidR="00E53DBF"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"/>
    <w:p w:rsidR="006A46FE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</w:t>
      </w:r>
      <w:r w:rsidRPr="006A46FE">
        <w:rPr>
          <w:rFonts w:ascii="Times New Roman" w:hAnsi="Times New Roman"/>
          <w:sz w:val="28"/>
          <w:szCs w:val="28"/>
        </w:rPr>
        <w:lastRenderedPageBreak/>
        <w:t>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6A46FE" w:rsidP="00E34B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C4798B"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="00C4798B"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="00E120EF">
        <w:rPr>
          <w:rFonts w:ascii="Times New Roman" w:hAnsi="Times New Roman"/>
          <w:sz w:val="28"/>
          <w:szCs w:val="28"/>
        </w:rPr>
        <w:t xml:space="preserve"> сельсовета.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6450C6">
        <w:rPr>
          <w:rFonts w:ascii="Times New Roman" w:hAnsi="Times New Roman"/>
          <w:sz w:val="28"/>
          <w:szCs w:val="28"/>
        </w:rPr>
        <w:t>Чановского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6450C6">
        <w:rPr>
          <w:rFonts w:ascii="Times New Roman" w:hAnsi="Times New Roman"/>
          <w:sz w:val="28"/>
          <w:szCs w:val="28"/>
        </w:rPr>
        <w:t>Старокарачинского</w:t>
      </w:r>
      <w:r w:rsidR="006A46FE">
        <w:rPr>
          <w:rFonts w:ascii="Times New Roman" w:hAnsi="Times New Roman"/>
          <w:sz w:val="28"/>
          <w:szCs w:val="28"/>
        </w:rPr>
        <w:t xml:space="preserve">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0194D">
      <w:footerReference w:type="default" r:id="rId7"/>
      <w:pgSz w:w="11906" w:h="16838"/>
      <w:pgMar w:top="1134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25" w:rsidRDefault="00773425" w:rsidP="00C0194D">
      <w:pPr>
        <w:spacing w:after="0" w:line="240" w:lineRule="auto"/>
      </w:pPr>
      <w:r>
        <w:separator/>
      </w:r>
    </w:p>
  </w:endnote>
  <w:endnote w:type="continuationSeparator" w:id="0">
    <w:p w:rsidR="00773425" w:rsidRDefault="00773425" w:rsidP="00C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color w:val="808080" w:themeColor="background1" w:themeShade="80"/>
        <w:sz w:val="16"/>
        <w:szCs w:val="16"/>
      </w:rPr>
      <w:id w:val="9086638"/>
      <w:docPartObj>
        <w:docPartGallery w:val="Page Numbers (Bottom of Page)"/>
        <w:docPartUnique/>
      </w:docPartObj>
    </w:sdtPr>
    <w:sdtContent>
      <w:p w:rsidR="00C0194D" w:rsidRPr="00C0194D" w:rsidRDefault="00C0194D" w:rsidP="00C0194D">
        <w:pPr>
          <w:pStyle w:val="aa"/>
          <w:jc w:val="right"/>
          <w:rPr>
            <w:rFonts w:ascii="Times New Roman" w:hAnsi="Times New Roman"/>
            <w:color w:val="808080" w:themeColor="background1" w:themeShade="80"/>
            <w:sz w:val="16"/>
            <w:szCs w:val="16"/>
          </w:rPr>
        </w:pPr>
        <w:r w:rsidRPr="00C0194D">
          <w:rPr>
            <w:rFonts w:ascii="Times New Roman" w:hAnsi="Times New Roman"/>
            <w:color w:val="808080" w:themeColor="background1" w:themeShade="80"/>
            <w:sz w:val="16"/>
            <w:szCs w:val="16"/>
          </w:rPr>
          <w:fldChar w:fldCharType="begin"/>
        </w:r>
        <w:r w:rsidRPr="00C0194D">
          <w:rPr>
            <w:rFonts w:ascii="Times New Roman" w:hAnsi="Times New Roman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C0194D">
          <w:rPr>
            <w:rFonts w:ascii="Times New Roman" w:hAnsi="Times New Roman"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="Times New Roman" w:hAnsi="Times New Roman"/>
            <w:noProof/>
            <w:color w:val="808080" w:themeColor="background1" w:themeShade="80"/>
            <w:sz w:val="16"/>
            <w:szCs w:val="16"/>
          </w:rPr>
          <w:t>5</w:t>
        </w:r>
        <w:r w:rsidRPr="00C0194D">
          <w:rPr>
            <w:rFonts w:ascii="Times New Roman" w:hAnsi="Times New Roman"/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25" w:rsidRDefault="00773425" w:rsidP="00C0194D">
      <w:pPr>
        <w:spacing w:after="0" w:line="240" w:lineRule="auto"/>
      </w:pPr>
      <w:r>
        <w:separator/>
      </w:r>
    </w:p>
  </w:footnote>
  <w:footnote w:type="continuationSeparator" w:id="0">
    <w:p w:rsidR="00773425" w:rsidRDefault="00773425" w:rsidP="00C0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22"/>
    <w:rsid w:val="001A318F"/>
    <w:rsid w:val="0025450E"/>
    <w:rsid w:val="00417E8A"/>
    <w:rsid w:val="004475BE"/>
    <w:rsid w:val="004E1EBF"/>
    <w:rsid w:val="00567535"/>
    <w:rsid w:val="006450C6"/>
    <w:rsid w:val="00676B5A"/>
    <w:rsid w:val="006A46FE"/>
    <w:rsid w:val="00773425"/>
    <w:rsid w:val="00857FEB"/>
    <w:rsid w:val="00863A22"/>
    <w:rsid w:val="00A21889"/>
    <w:rsid w:val="00A56A8E"/>
    <w:rsid w:val="00C0194D"/>
    <w:rsid w:val="00C4798B"/>
    <w:rsid w:val="00C73BD0"/>
    <w:rsid w:val="00CB1B24"/>
    <w:rsid w:val="00CC34D4"/>
    <w:rsid w:val="00D9534D"/>
    <w:rsid w:val="00E120EF"/>
    <w:rsid w:val="00E34B2E"/>
    <w:rsid w:val="00E53DBF"/>
    <w:rsid w:val="00E840D6"/>
    <w:rsid w:val="00ED3C4E"/>
    <w:rsid w:val="00F4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94D"/>
    <w:rPr>
      <w:rFonts w:ascii="Calibri" w:eastAsia="Calibri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C0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94D"/>
    <w:rPr>
      <w:rFonts w:ascii="Calibri" w:eastAsia="Calibri" w:hAnsi="Calibri" w:cs="Times New Roman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194D"/>
    <w:rPr>
      <w:rFonts w:ascii="Tahoma" w:eastAsia="Calibr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2018-08-08T04:34:00Z</cp:lastPrinted>
  <dcterms:created xsi:type="dcterms:W3CDTF">2018-06-26T02:56:00Z</dcterms:created>
  <dcterms:modified xsi:type="dcterms:W3CDTF">2018-08-08T04:34:00Z</dcterms:modified>
</cp:coreProperties>
</file>